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56" w:afterLines="50" w:line="360" w:lineRule="auto"/>
        <w:jc w:val="center"/>
        <w:rPr>
          <w:rFonts w:ascii="等线" w:hAnsi="等线" w:eastAsia="等线" w:cs="等线"/>
          <w:b/>
          <w:sz w:val="36"/>
          <w:szCs w:val="36"/>
        </w:rPr>
      </w:pPr>
      <w:bookmarkStart w:id="0" w:name="_GoBack"/>
      <w:bookmarkEnd w:id="0"/>
    </w:p>
    <w:p>
      <w:pPr>
        <w:snapToGrid w:val="0"/>
        <w:spacing w:after="156" w:afterLines="50" w:line="360" w:lineRule="auto"/>
        <w:jc w:val="center"/>
        <w:rPr>
          <w:rFonts w:ascii="等线" w:hAnsi="等线" w:eastAsia="等线" w:cs="等线"/>
          <w:b/>
          <w:sz w:val="36"/>
          <w:szCs w:val="36"/>
        </w:rPr>
      </w:pPr>
      <w:r>
        <w:rPr>
          <w:rFonts w:hint="eastAsia" w:ascii="等线" w:hAnsi="等线" w:eastAsia="等线" w:cs="等线"/>
          <w:b/>
          <w:sz w:val="36"/>
          <w:szCs w:val="36"/>
        </w:rPr>
        <w:t>山西大学法学院博士研究生报考条件</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山西大学法学院创始于1906年，1980年复建法律系，2005年获得法学一级学科硕士学位授予权，2012年法学院被中央政法委和教育部确定为卓越法律人才培养教育基地，2013年获批国家知识产权培训基地，2015年建成山西省地方立法研究咨询基地，2018年获得法学一级学科博士学位授予权。学院现有教职工6</w:t>
      </w:r>
      <w:r>
        <w:rPr>
          <w:rFonts w:ascii="Times New Roman" w:hAnsi="Times New Roman" w:eastAsia="仿宋" w:cs="Times New Roman"/>
          <w:spacing w:val="1"/>
          <w:sz w:val="28"/>
          <w:szCs w:val="28"/>
        </w:rPr>
        <w:t>6</w:t>
      </w:r>
      <w:r>
        <w:rPr>
          <w:rFonts w:hint="eastAsia" w:ascii="Times New Roman" w:hAnsi="Times New Roman" w:eastAsia="仿宋" w:cs="Times New Roman"/>
          <w:spacing w:val="1"/>
          <w:sz w:val="28"/>
          <w:szCs w:val="28"/>
        </w:rPr>
        <w:t>人，其中专任教师5</w:t>
      </w:r>
      <w:r>
        <w:rPr>
          <w:rFonts w:ascii="Times New Roman" w:hAnsi="Times New Roman" w:eastAsia="仿宋" w:cs="Times New Roman"/>
          <w:spacing w:val="1"/>
          <w:sz w:val="28"/>
          <w:szCs w:val="28"/>
        </w:rPr>
        <w:t>6</w:t>
      </w:r>
      <w:r>
        <w:rPr>
          <w:rFonts w:hint="eastAsia" w:ascii="Times New Roman" w:hAnsi="Times New Roman" w:eastAsia="仿宋" w:cs="Times New Roman"/>
          <w:spacing w:val="1"/>
          <w:sz w:val="28"/>
          <w:szCs w:val="28"/>
        </w:rPr>
        <w:t>人，教授14人，博士生导师16人。</w:t>
      </w:r>
    </w:p>
    <w:p>
      <w:pPr>
        <w:snapToGrid w:val="0"/>
        <w:spacing w:before="156" w:beforeLines="50" w:after="156" w:afterLines="50" w:line="360" w:lineRule="auto"/>
        <w:ind w:left="19" w:leftChars="9" w:right="-23"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一、招生方式</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我</w:t>
      </w:r>
      <w:r>
        <w:rPr>
          <w:rFonts w:hint="eastAsia" w:ascii="Times New Roman" w:hAnsi="Times New Roman" w:eastAsia="仿宋" w:cs="Times New Roman"/>
          <w:spacing w:val="1"/>
          <w:sz w:val="28"/>
          <w:szCs w:val="28"/>
        </w:rPr>
        <w:t>院</w:t>
      </w:r>
      <w:r>
        <w:rPr>
          <w:rFonts w:ascii="Times New Roman" w:hAnsi="Times New Roman" w:eastAsia="仿宋" w:cs="Times New Roman"/>
          <w:spacing w:val="1"/>
          <w:sz w:val="28"/>
          <w:szCs w:val="28"/>
        </w:rPr>
        <w:t>20</w:t>
      </w:r>
      <w:r>
        <w:rPr>
          <w:rFonts w:hint="eastAsia" w:ascii="Times New Roman" w:hAnsi="Times New Roman" w:eastAsia="仿宋" w:cs="Times New Roman"/>
          <w:spacing w:val="1"/>
          <w:sz w:val="28"/>
          <w:szCs w:val="28"/>
        </w:rPr>
        <w:t>2</w:t>
      </w:r>
      <w:r>
        <w:rPr>
          <w:rFonts w:ascii="Times New Roman" w:hAnsi="Times New Roman" w:eastAsia="仿宋" w:cs="Times New Roman"/>
          <w:spacing w:val="1"/>
          <w:sz w:val="28"/>
          <w:szCs w:val="28"/>
        </w:rPr>
        <w:t>2年招收博士研究生采取直接攻博、硕博连读、“申请</w:t>
      </w:r>
      <w:r>
        <w:rPr>
          <w:rFonts w:hint="eastAsia" w:ascii="Times New Roman" w:hAnsi="Times New Roman" w:eastAsia="仿宋" w:cs="Times New Roman"/>
          <w:spacing w:val="1"/>
          <w:sz w:val="28"/>
          <w:szCs w:val="28"/>
        </w:rPr>
        <w:t>—</w:t>
      </w:r>
      <w:r>
        <w:rPr>
          <w:rFonts w:ascii="Times New Roman" w:hAnsi="Times New Roman" w:eastAsia="仿宋" w:cs="Times New Roman"/>
          <w:spacing w:val="1"/>
          <w:sz w:val="28"/>
          <w:szCs w:val="28"/>
        </w:rPr>
        <w:t>考核制”、普通招考四种方式。</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1、直接攻博：选拔具有推免生资格的优秀应届本科毕业生直接取得博士研究生入学资格的招生方式。</w:t>
      </w:r>
      <w:r>
        <w:rPr>
          <w:rFonts w:ascii="Times New Roman" w:hAnsi="Times New Roman" w:eastAsia="仿宋" w:cs="Times New Roman"/>
          <w:spacing w:val="1"/>
          <w:sz w:val="28"/>
          <w:szCs w:val="28"/>
        </w:rPr>
        <w:br w:type="textWrapping"/>
      </w:r>
      <w:r>
        <w:rPr>
          <w:rFonts w:ascii="Times New Roman" w:hAnsi="Times New Roman" w:eastAsia="仿宋" w:cs="Times New Roman"/>
          <w:spacing w:val="1"/>
          <w:sz w:val="28"/>
          <w:szCs w:val="28"/>
        </w:rPr>
        <w:t>　　2、硕博连读：从我校已完成规定硕士课程学习并且成绩优良，对学术研究有浓厚兴趣，具有较强的科研创新精神和科研能力的在学学术型硕士研究生中选拔博士研究生的方式。</w:t>
      </w:r>
      <w:r>
        <w:rPr>
          <w:rFonts w:ascii="Times New Roman" w:hAnsi="Times New Roman" w:eastAsia="仿宋" w:cs="Times New Roman"/>
          <w:spacing w:val="1"/>
          <w:sz w:val="28"/>
          <w:szCs w:val="28"/>
        </w:rPr>
        <w:br w:type="textWrapping"/>
      </w:r>
      <w:r>
        <w:rPr>
          <w:rFonts w:ascii="Times New Roman" w:hAnsi="Times New Roman" w:eastAsia="仿宋" w:cs="Times New Roman"/>
          <w:spacing w:val="1"/>
          <w:sz w:val="28"/>
          <w:szCs w:val="28"/>
        </w:rPr>
        <w:t>　　3、“申请</w:t>
      </w:r>
      <w:r>
        <w:rPr>
          <w:rFonts w:hint="eastAsia" w:ascii="Times New Roman" w:hAnsi="Times New Roman" w:eastAsia="仿宋" w:cs="Times New Roman"/>
          <w:spacing w:val="1"/>
          <w:sz w:val="28"/>
          <w:szCs w:val="28"/>
        </w:rPr>
        <w:t>—</w:t>
      </w:r>
      <w:r>
        <w:rPr>
          <w:rFonts w:ascii="Times New Roman" w:hAnsi="Times New Roman" w:eastAsia="仿宋" w:cs="Times New Roman"/>
          <w:spacing w:val="1"/>
          <w:sz w:val="28"/>
          <w:szCs w:val="28"/>
        </w:rPr>
        <w:t>考核制”：不参加考试选拔，各招生单位对符合条件的考生进行综合考核后录取的招生方式。</w:t>
      </w:r>
      <w:r>
        <w:rPr>
          <w:rFonts w:ascii="Times New Roman" w:hAnsi="Times New Roman" w:eastAsia="仿宋" w:cs="Times New Roman"/>
          <w:spacing w:val="1"/>
          <w:sz w:val="28"/>
          <w:szCs w:val="28"/>
        </w:rPr>
        <w:br w:type="textWrapping"/>
      </w:r>
      <w:r>
        <w:rPr>
          <w:rFonts w:ascii="Times New Roman" w:hAnsi="Times New Roman" w:eastAsia="仿宋" w:cs="Times New Roman"/>
          <w:spacing w:val="1"/>
          <w:sz w:val="28"/>
          <w:szCs w:val="28"/>
        </w:rPr>
        <w:t>　　4、普通招考：符合报考条件的人员进行</w:t>
      </w:r>
      <w:r>
        <w:rPr>
          <w:rFonts w:hint="eastAsia" w:ascii="Times New Roman" w:hAnsi="Times New Roman" w:eastAsia="仿宋" w:cs="Times New Roman"/>
          <w:spacing w:val="1"/>
          <w:sz w:val="28"/>
          <w:szCs w:val="28"/>
        </w:rPr>
        <w:t>公开招考</w:t>
      </w:r>
      <w:r>
        <w:rPr>
          <w:rFonts w:ascii="Times New Roman" w:hAnsi="Times New Roman" w:eastAsia="仿宋" w:cs="Times New Roman"/>
          <w:spacing w:val="1"/>
          <w:sz w:val="28"/>
          <w:szCs w:val="28"/>
        </w:rPr>
        <w:t>选拔博士生的招生方式。</w:t>
      </w:r>
    </w:p>
    <w:p>
      <w:pPr>
        <w:snapToGrid w:val="0"/>
        <w:spacing w:before="156" w:beforeLines="50" w:after="156" w:afterLines="50" w:line="360" w:lineRule="auto"/>
        <w:ind w:left="19" w:leftChars="9" w:right="-23"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二、报考</w:t>
      </w:r>
      <w:r>
        <w:rPr>
          <w:rFonts w:hint="eastAsia" w:ascii="Times New Roman" w:hAnsi="Times New Roman" w:eastAsia="仿宋" w:cs="Times New Roman"/>
          <w:b/>
          <w:bCs/>
          <w:sz w:val="28"/>
          <w:szCs w:val="28"/>
        </w:rPr>
        <w:t>条件</w:t>
      </w:r>
    </w:p>
    <w:p>
      <w:pPr>
        <w:snapToGrid w:val="0"/>
        <w:spacing w:before="156" w:beforeLines="50" w:after="156" w:afterLines="50" w:line="360" w:lineRule="auto"/>
        <w:ind w:left="19" w:leftChars="9" w:right="-23"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（一）以普通招考方式报考博士生的基本条件</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1、拥护中国共产党的领导，具有正确的政治方向，热爱祖国，愿意为社会主义现代化建设服务，遵纪守法，品行端正。</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2、</w:t>
      </w:r>
      <w:r>
        <w:rPr>
          <w:rFonts w:hint="eastAsia" w:ascii="Times New Roman" w:hAnsi="Times New Roman" w:eastAsia="仿宋" w:cs="Times New Roman"/>
          <w:spacing w:val="1"/>
          <w:sz w:val="28"/>
          <w:szCs w:val="28"/>
        </w:rPr>
        <w:t>应届硕士或往届硕士毕业生，且第一学历为普通全日制本科并取得学士学位，应届硕士生应当在博士入学前取得硕士毕业证书和学位证书。</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3、身体和心理健康状况符合我校规定。</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4、有至少两名</w:t>
      </w:r>
      <w:r>
        <w:rPr>
          <w:rFonts w:hint="eastAsia" w:ascii="Times New Roman" w:hAnsi="Times New Roman" w:eastAsia="仿宋" w:cs="Times New Roman"/>
          <w:spacing w:val="1"/>
          <w:sz w:val="28"/>
          <w:szCs w:val="28"/>
        </w:rPr>
        <w:t>法学</w:t>
      </w:r>
      <w:r>
        <w:rPr>
          <w:rFonts w:ascii="Times New Roman" w:hAnsi="Times New Roman" w:eastAsia="仿宋" w:cs="Times New Roman"/>
          <w:spacing w:val="1"/>
          <w:sz w:val="28"/>
          <w:szCs w:val="28"/>
        </w:rPr>
        <w:t>专业领域内的教授（或相当专业技术职称的专家）的书面推荐意见。</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5、</w:t>
      </w:r>
      <w:r>
        <w:rPr>
          <w:rFonts w:ascii="Times New Roman" w:hAnsi="Times New Roman" w:eastAsia="仿宋" w:cs="Times New Roman"/>
          <w:spacing w:val="1"/>
          <w:sz w:val="28"/>
          <w:szCs w:val="28"/>
        </w:rPr>
        <w:t>非应届硕士毕业报考人员学术水平要求</w:t>
      </w:r>
      <w:r>
        <w:rPr>
          <w:rFonts w:hint="eastAsia" w:ascii="Times New Roman" w:hAnsi="Times New Roman" w:eastAsia="仿宋" w:cs="Times New Roman"/>
          <w:spacing w:val="1"/>
          <w:sz w:val="28"/>
          <w:szCs w:val="28"/>
        </w:rPr>
        <w:t>符合下列条件之一（以下成果要求须与所报考方向相关，并提供证明）：</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（1）科研论文：申请者以第一作者或导师为第一作者、本人为第二作者在《中文社会科学引文索引期刊(CSSCI)》</w:t>
      </w:r>
      <w:r>
        <w:rPr>
          <w:rFonts w:ascii="Times New Roman" w:hAnsi="Times New Roman" w:eastAsia="仿宋" w:cs="Times New Roman"/>
          <w:spacing w:val="1"/>
          <w:sz w:val="28"/>
          <w:szCs w:val="28"/>
        </w:rPr>
        <w:t>（含来源期刊</w:t>
      </w:r>
      <w:r>
        <w:rPr>
          <w:rFonts w:hint="eastAsia" w:ascii="Times New Roman" w:hAnsi="Times New Roman" w:eastAsia="仿宋" w:cs="Times New Roman"/>
          <w:spacing w:val="1"/>
          <w:sz w:val="28"/>
          <w:szCs w:val="28"/>
        </w:rPr>
        <w:t>、</w:t>
      </w:r>
      <w:r>
        <w:rPr>
          <w:rFonts w:ascii="Times New Roman" w:hAnsi="Times New Roman" w:eastAsia="仿宋" w:cs="Times New Roman"/>
          <w:spacing w:val="1"/>
          <w:sz w:val="28"/>
          <w:szCs w:val="28"/>
        </w:rPr>
        <w:t>扩展版期刊</w:t>
      </w:r>
      <w:r>
        <w:rPr>
          <w:rFonts w:hint="eastAsia" w:ascii="Times New Roman" w:hAnsi="Times New Roman" w:eastAsia="仿宋" w:cs="Times New Roman"/>
          <w:spacing w:val="1"/>
          <w:sz w:val="28"/>
          <w:szCs w:val="28"/>
        </w:rPr>
        <w:t>、集刊</w:t>
      </w:r>
      <w:r>
        <w:rPr>
          <w:rFonts w:ascii="Times New Roman" w:hAnsi="Times New Roman" w:eastAsia="仿宋" w:cs="Times New Roman"/>
          <w:spacing w:val="1"/>
          <w:sz w:val="28"/>
          <w:szCs w:val="28"/>
        </w:rPr>
        <w:t>）</w:t>
      </w:r>
      <w:r>
        <w:rPr>
          <w:rFonts w:hint="eastAsia" w:ascii="Times New Roman" w:hAnsi="Times New Roman" w:eastAsia="仿宋" w:cs="Times New Roman"/>
          <w:spacing w:val="1"/>
          <w:sz w:val="28"/>
          <w:szCs w:val="28"/>
        </w:rPr>
        <w:t>或《中文核心期刊要目总览》收录的学术期刊上至少发表一篇学术论文（</w:t>
      </w:r>
      <w:r>
        <w:rPr>
          <w:rFonts w:ascii="Times New Roman" w:hAnsi="Times New Roman" w:eastAsia="仿宋" w:cs="Times New Roman"/>
          <w:spacing w:val="1"/>
          <w:sz w:val="28"/>
          <w:szCs w:val="28"/>
        </w:rPr>
        <w:t>注：不包括书评、通讯、会议综述等非学术性文章和发表在杂志增刊的论文</w:t>
      </w:r>
      <w:r>
        <w:rPr>
          <w:rFonts w:hint="eastAsia"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（2）出版著作：在国内公认高水平出版社公开出版以研究为主的专著、译著，本人作为主要完成人之一，承担完成字数8</w:t>
      </w:r>
      <w:r>
        <w:rPr>
          <w:rFonts w:ascii="Times New Roman" w:hAnsi="Times New Roman" w:eastAsia="仿宋" w:cs="Times New Roman"/>
          <w:spacing w:val="1"/>
          <w:sz w:val="28"/>
          <w:szCs w:val="28"/>
        </w:rPr>
        <w:t>万字以上</w:t>
      </w:r>
      <w:r>
        <w:rPr>
          <w:rFonts w:hint="eastAsia"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3）科研项目：①主持过省级以上研究生创新项目；②主持国家以及部委项目、省社科规划、省软科学、省高校人文社科、省出国留学基金、省法学会项目，项目经费需在五千元以上；③作为项目参与者，参加过国家社科基金或者教育部人文社科项目，排名前三。</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（4）获奖：①获得省级优秀硕士学位论文者；②获得国家部委优秀成果奖、省社科优秀成果奖（三等奖以上奖励，个人排名前二）。</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（5）承担社会服务：本人撰写的研究报告获得省部级领导批示或部门采纳。</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6</w:t>
      </w:r>
      <w:r>
        <w:rPr>
          <w:rFonts w:ascii="Times New Roman" w:hAnsi="Times New Roman" w:eastAsia="仿宋" w:cs="Times New Roman"/>
          <w:spacing w:val="1"/>
          <w:sz w:val="28"/>
          <w:szCs w:val="28"/>
        </w:rPr>
        <w:t>、在职人员录取为我校博士研究生后能够全脱产学习。</w:t>
      </w:r>
    </w:p>
    <w:p>
      <w:pPr>
        <w:snapToGrid w:val="0"/>
        <w:spacing w:before="156" w:beforeLines="50" w:after="156" w:afterLines="50" w:line="360" w:lineRule="auto"/>
        <w:ind w:left="19" w:leftChars="9" w:right="-23"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（二）以硕博连读方式报考博士生的基本条件</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1、拥护中国共产党的领导，具有正确的政治方向，热爱祖国，愿意为社会主义现代化建设服务，遵纪守法，品行端正。</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2、</w:t>
      </w:r>
      <w:r>
        <w:rPr>
          <w:rFonts w:ascii="Times New Roman" w:hAnsi="Times New Roman" w:eastAsia="仿宋" w:cs="Times New Roman"/>
          <w:spacing w:val="1"/>
          <w:sz w:val="28"/>
          <w:szCs w:val="28"/>
        </w:rPr>
        <w:t>身体和心理健康状况符合我校规定</w:t>
      </w:r>
      <w:r>
        <w:rPr>
          <w:rFonts w:hint="eastAsia"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3、</w:t>
      </w:r>
      <w:r>
        <w:rPr>
          <w:rFonts w:ascii="Times New Roman" w:hAnsi="Times New Roman" w:eastAsia="仿宋" w:cs="Times New Roman"/>
          <w:spacing w:val="1"/>
          <w:sz w:val="28"/>
          <w:szCs w:val="28"/>
        </w:rPr>
        <w:t>有至少两名</w:t>
      </w:r>
      <w:r>
        <w:rPr>
          <w:rFonts w:hint="eastAsia" w:ascii="Times New Roman" w:hAnsi="Times New Roman" w:eastAsia="仿宋" w:cs="Times New Roman"/>
          <w:spacing w:val="1"/>
          <w:sz w:val="28"/>
          <w:szCs w:val="28"/>
        </w:rPr>
        <w:t>法学</w:t>
      </w:r>
      <w:r>
        <w:rPr>
          <w:rFonts w:ascii="Times New Roman" w:hAnsi="Times New Roman" w:eastAsia="仿宋" w:cs="Times New Roman"/>
          <w:spacing w:val="1"/>
          <w:sz w:val="28"/>
          <w:szCs w:val="28"/>
        </w:rPr>
        <w:t>专业领域内的教授（或相当专业技术职称的专家）的书面推荐意见。</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4、国家英语四级考试成绩达到4</w:t>
      </w:r>
      <w:r>
        <w:rPr>
          <w:rFonts w:ascii="Times New Roman" w:hAnsi="Times New Roman" w:eastAsia="仿宋" w:cs="Times New Roman"/>
          <w:spacing w:val="1"/>
          <w:sz w:val="28"/>
          <w:szCs w:val="28"/>
        </w:rPr>
        <w:t>25</w:t>
      </w:r>
      <w:r>
        <w:rPr>
          <w:rFonts w:hint="eastAsia" w:ascii="Times New Roman" w:hAnsi="Times New Roman" w:eastAsia="仿宋" w:cs="Times New Roman"/>
          <w:spacing w:val="1"/>
          <w:sz w:val="28"/>
          <w:szCs w:val="28"/>
        </w:rPr>
        <w:t>分及以上</w:t>
      </w:r>
      <w:r>
        <w:rPr>
          <w:rFonts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5</w:t>
      </w:r>
      <w:r>
        <w:rPr>
          <w:rFonts w:ascii="Times New Roman" w:hAnsi="Times New Roman" w:eastAsia="仿宋" w:cs="Times New Roman"/>
          <w:spacing w:val="1"/>
          <w:sz w:val="28"/>
          <w:szCs w:val="28"/>
        </w:rPr>
        <w:t>、</w:t>
      </w:r>
      <w:r>
        <w:rPr>
          <w:rFonts w:hint="eastAsia" w:ascii="Times New Roman" w:hAnsi="Times New Roman" w:eastAsia="仿宋" w:cs="Times New Roman"/>
          <w:spacing w:val="1"/>
          <w:sz w:val="28"/>
          <w:szCs w:val="28"/>
        </w:rPr>
        <w:t>本校</w:t>
      </w:r>
      <w:r>
        <w:rPr>
          <w:rFonts w:ascii="Times New Roman" w:hAnsi="Times New Roman" w:eastAsia="仿宋" w:cs="Times New Roman"/>
          <w:spacing w:val="1"/>
          <w:sz w:val="28"/>
          <w:szCs w:val="28"/>
        </w:rPr>
        <w:t>已完成规定的课程学习，成绩优秀，对学术研究有浓厚兴趣，具有较强创新精神和科研能力的在</w:t>
      </w:r>
      <w:r>
        <w:rPr>
          <w:rFonts w:hint="eastAsia" w:ascii="Times New Roman" w:hAnsi="Times New Roman" w:eastAsia="仿宋" w:cs="Times New Roman"/>
          <w:spacing w:val="1"/>
          <w:sz w:val="28"/>
          <w:szCs w:val="28"/>
        </w:rPr>
        <w:t>读</w:t>
      </w:r>
      <w:r>
        <w:rPr>
          <w:rFonts w:ascii="Times New Roman" w:hAnsi="Times New Roman" w:eastAsia="仿宋" w:cs="Times New Roman"/>
          <w:spacing w:val="1"/>
          <w:sz w:val="28"/>
          <w:szCs w:val="28"/>
        </w:rPr>
        <w:t>学术型硕士研究生。</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6</w:t>
      </w:r>
      <w:r>
        <w:rPr>
          <w:rFonts w:ascii="Times New Roman" w:hAnsi="Times New Roman" w:eastAsia="仿宋" w:cs="Times New Roman"/>
          <w:spacing w:val="1"/>
          <w:sz w:val="28"/>
          <w:szCs w:val="28"/>
        </w:rPr>
        <w:t>、拟申报专业原则上应与硕士期间所学专业一致。</w:t>
      </w:r>
    </w:p>
    <w:p>
      <w:pPr>
        <w:snapToGrid w:val="0"/>
        <w:spacing w:before="156" w:beforeLines="50" w:after="156" w:afterLines="50" w:line="360" w:lineRule="auto"/>
        <w:ind w:left="19" w:leftChars="9" w:right="-23" w:firstLine="562" w:firstLineChars="200"/>
        <w:rPr>
          <w:rFonts w:ascii="Times New Roman" w:hAnsi="Times New Roman" w:eastAsia="仿宋" w:cs="Times New Roman"/>
          <w:b/>
          <w:bCs/>
          <w:sz w:val="28"/>
          <w:szCs w:val="28"/>
        </w:rPr>
      </w:pPr>
      <w:r>
        <w:rPr>
          <w:rFonts w:ascii="Times New Roman" w:hAnsi="Times New Roman" w:eastAsia="仿宋" w:cs="Times New Roman"/>
          <w:b/>
          <w:bCs/>
          <w:sz w:val="28"/>
          <w:szCs w:val="28"/>
        </w:rPr>
        <w:t>（三）以“申请</w:t>
      </w:r>
      <w:r>
        <w:rPr>
          <w:rFonts w:hint="eastAsia" w:ascii="Times New Roman" w:hAnsi="Times New Roman" w:eastAsia="仿宋" w:cs="Times New Roman"/>
          <w:sz w:val="28"/>
          <w:szCs w:val="28"/>
        </w:rPr>
        <w:t>—</w:t>
      </w:r>
      <w:r>
        <w:rPr>
          <w:rFonts w:ascii="Times New Roman" w:hAnsi="Times New Roman" w:eastAsia="仿宋" w:cs="Times New Roman"/>
          <w:b/>
          <w:bCs/>
          <w:sz w:val="28"/>
          <w:szCs w:val="28"/>
        </w:rPr>
        <w:t>考核制”方式报考博士生的基本条件</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1、拥护中国共产党的领导，具有正确的政治方向，热爱祖国，愿意为社会主义现代化建设服务，遵纪守法，品行端正。</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2、</w:t>
      </w:r>
      <w:r>
        <w:rPr>
          <w:rFonts w:ascii="Times New Roman" w:hAnsi="Times New Roman" w:eastAsia="仿宋" w:cs="Times New Roman"/>
          <w:spacing w:val="1"/>
          <w:sz w:val="28"/>
          <w:szCs w:val="28"/>
        </w:rPr>
        <w:t>身体和心理健康状况符合我校规定</w:t>
      </w:r>
      <w:r>
        <w:rPr>
          <w:rFonts w:hint="eastAsia"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3、申请者为应届硕士或往届硕士毕业生，且第一学历为普通全日制本科，并取得学士学位；应届硕士生必须在博士入学前取得硕士毕业证书和学位证书，往届生须为2020年1月1日以后毕业的全日制硕士研究生。</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4、申请者的报考类别须为非定向就业博士研究生</w:t>
      </w:r>
      <w:r>
        <w:rPr>
          <w:rFonts w:hint="eastAsia" w:ascii="Times New Roman" w:hAnsi="Times New Roman" w:eastAsia="仿宋" w:cs="Times New Roman"/>
          <w:spacing w:val="1"/>
          <w:sz w:val="28"/>
          <w:szCs w:val="28"/>
        </w:rPr>
        <w:t>，</w:t>
      </w:r>
      <w:r>
        <w:rPr>
          <w:rFonts w:ascii="Times New Roman" w:hAnsi="Times New Roman" w:eastAsia="仿宋" w:cs="Times New Roman"/>
          <w:spacing w:val="1"/>
          <w:sz w:val="28"/>
          <w:szCs w:val="28"/>
        </w:rPr>
        <w:t>录取后能够全日制脱产在校学习。</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ascii="Times New Roman" w:hAnsi="Times New Roman" w:eastAsia="仿宋" w:cs="Times New Roman"/>
          <w:spacing w:val="1"/>
          <w:sz w:val="28"/>
          <w:szCs w:val="28"/>
        </w:rPr>
        <w:t>5、</w:t>
      </w:r>
      <w:r>
        <w:rPr>
          <w:rFonts w:hint="eastAsia" w:ascii="Times New Roman" w:hAnsi="Times New Roman" w:eastAsia="仿宋" w:cs="Times New Roman"/>
          <w:spacing w:val="1"/>
          <w:sz w:val="28"/>
          <w:szCs w:val="28"/>
        </w:rPr>
        <w:t>外语水平达到以下条件之一：国家英语六级考试成绩达到425分及以上；或TOEFL成绩达到80分及以上；或IELTS成绩达到6分及以上。</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6</w:t>
      </w:r>
      <w:r>
        <w:rPr>
          <w:rFonts w:ascii="Times New Roman" w:hAnsi="Times New Roman" w:eastAsia="仿宋" w:cs="Times New Roman"/>
          <w:spacing w:val="1"/>
          <w:sz w:val="28"/>
          <w:szCs w:val="28"/>
        </w:rPr>
        <w:t>、</w:t>
      </w:r>
      <w:r>
        <w:rPr>
          <w:rFonts w:hint="eastAsia" w:ascii="Times New Roman" w:hAnsi="Times New Roman" w:eastAsia="仿宋" w:cs="Times New Roman"/>
          <w:spacing w:val="1"/>
          <w:sz w:val="28"/>
          <w:szCs w:val="28"/>
        </w:rPr>
        <w:t>申请者专业理论基础扎实，具有浓厚的学术研究兴趣，具备较强的科研能力，</w:t>
      </w:r>
      <w:r>
        <w:rPr>
          <w:rFonts w:ascii="Times New Roman" w:hAnsi="Times New Roman" w:eastAsia="仿宋" w:cs="Times New Roman"/>
          <w:spacing w:val="1"/>
          <w:sz w:val="28"/>
          <w:szCs w:val="28"/>
        </w:rPr>
        <w:t>且已取得较为突出的科研成果，科研成果须满足以下条件</w:t>
      </w:r>
      <w:r>
        <w:rPr>
          <w:rFonts w:hint="eastAsia" w:ascii="Times New Roman" w:hAnsi="Times New Roman" w:eastAsia="仿宋" w:cs="Times New Roman"/>
          <w:spacing w:val="1"/>
          <w:sz w:val="28"/>
          <w:szCs w:val="28"/>
        </w:rPr>
        <w:t>之一</w:t>
      </w:r>
      <w:r>
        <w:rPr>
          <w:rFonts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（1）科研论文：申请者以第一作者或导师为第一作者、本人为第二作者在《中文社会科学引文索引期刊(CSSCI)》</w:t>
      </w:r>
      <w:r>
        <w:rPr>
          <w:rFonts w:ascii="Times New Roman" w:hAnsi="Times New Roman" w:eastAsia="仿宋" w:cs="Times New Roman"/>
          <w:spacing w:val="1"/>
          <w:sz w:val="28"/>
          <w:szCs w:val="28"/>
        </w:rPr>
        <w:t>（含来源期刊</w:t>
      </w:r>
      <w:r>
        <w:rPr>
          <w:rFonts w:hint="eastAsia" w:ascii="Times New Roman" w:hAnsi="Times New Roman" w:eastAsia="仿宋" w:cs="Times New Roman"/>
          <w:spacing w:val="1"/>
          <w:sz w:val="28"/>
          <w:szCs w:val="28"/>
        </w:rPr>
        <w:t>、</w:t>
      </w:r>
      <w:r>
        <w:rPr>
          <w:rFonts w:ascii="Times New Roman" w:hAnsi="Times New Roman" w:eastAsia="仿宋" w:cs="Times New Roman"/>
          <w:spacing w:val="1"/>
          <w:sz w:val="28"/>
          <w:szCs w:val="28"/>
        </w:rPr>
        <w:t>扩展版期刊</w:t>
      </w:r>
      <w:r>
        <w:rPr>
          <w:rFonts w:hint="eastAsia" w:ascii="Times New Roman" w:hAnsi="Times New Roman" w:eastAsia="仿宋" w:cs="Times New Roman"/>
          <w:spacing w:val="1"/>
          <w:sz w:val="28"/>
          <w:szCs w:val="28"/>
        </w:rPr>
        <w:t>、集刊</w:t>
      </w:r>
      <w:r>
        <w:rPr>
          <w:rFonts w:ascii="Times New Roman" w:hAnsi="Times New Roman" w:eastAsia="仿宋" w:cs="Times New Roman"/>
          <w:spacing w:val="1"/>
          <w:sz w:val="28"/>
          <w:szCs w:val="28"/>
        </w:rPr>
        <w:t>）</w:t>
      </w:r>
      <w:r>
        <w:rPr>
          <w:rFonts w:hint="eastAsia" w:ascii="Times New Roman" w:hAnsi="Times New Roman" w:eastAsia="仿宋" w:cs="Times New Roman"/>
          <w:spacing w:val="1"/>
          <w:sz w:val="28"/>
          <w:szCs w:val="28"/>
        </w:rPr>
        <w:t>或《中文核心期刊要目总览》收录的学术期刊上至少发表一篇学术论文（</w:t>
      </w:r>
      <w:r>
        <w:rPr>
          <w:rFonts w:ascii="Times New Roman" w:hAnsi="Times New Roman" w:eastAsia="仿宋" w:cs="Times New Roman"/>
          <w:spacing w:val="1"/>
          <w:sz w:val="28"/>
          <w:szCs w:val="28"/>
        </w:rPr>
        <w:t>注：不包括书评、通讯、会议综述等非学术性文章和发表在杂志增刊的论文及国际会议论文</w:t>
      </w:r>
      <w:r>
        <w:rPr>
          <w:rFonts w:hint="eastAsia"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（2）出版著作：须在国内公认高水平出版社公开出版发行以研究为主的专著、译著，全国各新华书店统一发行，本人需作为主要完成人之一，承担完成字数内容8</w:t>
      </w:r>
      <w:r>
        <w:rPr>
          <w:rFonts w:ascii="Times New Roman" w:hAnsi="Times New Roman" w:eastAsia="仿宋" w:cs="Times New Roman"/>
          <w:spacing w:val="1"/>
          <w:sz w:val="28"/>
          <w:szCs w:val="28"/>
        </w:rPr>
        <w:t>万字以上</w:t>
      </w:r>
      <w:r>
        <w:rPr>
          <w:rFonts w:hint="eastAsia" w:ascii="Times New Roman" w:hAnsi="Times New Roman" w:eastAsia="仿宋" w:cs="Times New Roman"/>
          <w:spacing w:val="1"/>
          <w:sz w:val="28"/>
          <w:szCs w:val="28"/>
        </w:rPr>
        <w:t>。</w:t>
      </w:r>
    </w:p>
    <w:p>
      <w:pPr>
        <w:snapToGrid w:val="0"/>
        <w:spacing w:line="360" w:lineRule="auto"/>
        <w:ind w:left="19" w:leftChars="9" w:right="-23" w:firstLine="564" w:firstLineChars="200"/>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（3）获奖：①获得省级优秀硕士学位论文者；②获得国家部委优秀成果奖、省社科优秀成果奖（三等奖以上奖励，个人排名前二）。</w:t>
      </w:r>
    </w:p>
    <w:p>
      <w:pPr>
        <w:spacing w:line="360" w:lineRule="auto"/>
        <w:ind w:left="19" w:leftChars="9" w:right="-20" w:firstLine="632" w:firstLineChars="225"/>
        <w:rPr>
          <w:rFonts w:ascii="宋体" w:hAnsi="宋体" w:eastAsia="宋体"/>
          <w:b/>
          <w:sz w:val="28"/>
          <w:szCs w:val="28"/>
        </w:rPr>
      </w:pPr>
      <w:r>
        <w:rPr>
          <w:rFonts w:hint="eastAsia" w:ascii="宋体" w:hAnsi="宋体" w:eastAsia="宋体"/>
          <w:b/>
          <w:sz w:val="28"/>
          <w:szCs w:val="28"/>
        </w:rPr>
        <w:t xml:space="preserve">          </w:t>
      </w:r>
    </w:p>
    <w:p>
      <w:pPr>
        <w:spacing w:line="360" w:lineRule="auto"/>
        <w:ind w:left="19" w:leftChars="9" w:right="-20" w:firstLine="632" w:firstLineChars="225"/>
        <w:rPr>
          <w:rFonts w:ascii="宋体" w:hAnsi="宋体" w:eastAsia="宋体"/>
          <w:b/>
          <w:sz w:val="28"/>
          <w:szCs w:val="28"/>
        </w:rPr>
      </w:pPr>
      <w:r>
        <w:rPr>
          <w:rFonts w:hint="eastAsia" w:ascii="宋体" w:hAnsi="宋体" w:eastAsia="宋体"/>
          <w:b/>
          <w:sz w:val="28"/>
          <w:szCs w:val="28"/>
        </w:rPr>
        <w:t xml:space="preserve">   </w:t>
      </w:r>
    </w:p>
    <w:p>
      <w:pPr>
        <w:spacing w:line="360" w:lineRule="auto"/>
        <w:ind w:left="19" w:leftChars="9" w:right="-20" w:firstLine="2038" w:firstLineChars="725"/>
        <w:rPr>
          <w:rFonts w:ascii="Times New Roman" w:hAnsi="Times New Roman" w:eastAsia="仿宋" w:cs="Times New Roman"/>
          <w:spacing w:val="1"/>
          <w:sz w:val="28"/>
          <w:szCs w:val="28"/>
        </w:rPr>
      </w:pPr>
      <w:r>
        <w:rPr>
          <w:rFonts w:hint="eastAsia" w:ascii="宋体" w:hAnsi="宋体" w:eastAsia="宋体"/>
          <w:b/>
          <w:sz w:val="28"/>
          <w:szCs w:val="28"/>
        </w:rPr>
        <w:t xml:space="preserve">                        </w:t>
      </w:r>
      <w:r>
        <w:rPr>
          <w:rFonts w:hint="eastAsia" w:ascii="Times New Roman" w:hAnsi="Times New Roman" w:eastAsia="仿宋" w:cs="Times New Roman"/>
          <w:spacing w:val="1"/>
          <w:sz w:val="28"/>
          <w:szCs w:val="28"/>
        </w:rPr>
        <w:t>山西大学法学院</w:t>
      </w:r>
    </w:p>
    <w:p>
      <w:pPr>
        <w:spacing w:line="360" w:lineRule="auto"/>
        <w:ind w:left="19" w:leftChars="9" w:right="-20" w:firstLine="634" w:firstLineChars="225"/>
        <w:rPr>
          <w:rFonts w:ascii="Times New Roman" w:hAnsi="Times New Roman" w:eastAsia="仿宋" w:cs="Times New Roman"/>
          <w:spacing w:val="1"/>
          <w:sz w:val="28"/>
          <w:szCs w:val="28"/>
        </w:rPr>
      </w:pPr>
      <w:r>
        <w:rPr>
          <w:rFonts w:hint="eastAsia" w:ascii="Times New Roman" w:hAnsi="Times New Roman" w:eastAsia="仿宋" w:cs="Times New Roman"/>
          <w:spacing w:val="1"/>
          <w:sz w:val="28"/>
          <w:szCs w:val="28"/>
        </w:rPr>
        <w:t xml:space="preserve">                                 202</w:t>
      </w:r>
      <w:r>
        <w:rPr>
          <w:rFonts w:ascii="Times New Roman" w:hAnsi="Times New Roman" w:eastAsia="仿宋" w:cs="Times New Roman"/>
          <w:spacing w:val="1"/>
          <w:sz w:val="28"/>
          <w:szCs w:val="28"/>
        </w:rPr>
        <w:t>2</w:t>
      </w:r>
      <w:r>
        <w:rPr>
          <w:rFonts w:hint="eastAsia" w:ascii="Times New Roman" w:hAnsi="Times New Roman" w:eastAsia="仿宋" w:cs="Times New Roman"/>
          <w:spacing w:val="1"/>
          <w:sz w:val="28"/>
          <w:szCs w:val="28"/>
        </w:rPr>
        <w:t>年4月2</w:t>
      </w:r>
      <w:r>
        <w:rPr>
          <w:rFonts w:ascii="Times New Roman" w:hAnsi="Times New Roman" w:eastAsia="仿宋" w:cs="Times New Roman"/>
          <w:spacing w:val="1"/>
          <w:sz w:val="28"/>
          <w:szCs w:val="28"/>
        </w:rPr>
        <w:t>7</w:t>
      </w:r>
      <w:r>
        <w:rPr>
          <w:rFonts w:hint="eastAsia" w:ascii="Times New Roman" w:hAnsi="Times New Roman" w:eastAsia="仿宋" w:cs="Times New Roman"/>
          <w:spacing w:val="1"/>
          <w:sz w:val="28"/>
          <w:szCs w:val="28"/>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3157205"/>
    </w:sdtPr>
    <w:sdtContent>
      <w:p>
        <w:pPr>
          <w:pStyle w:val="3"/>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DE2E24"/>
    <w:rsid w:val="000127D5"/>
    <w:rsid w:val="001A0518"/>
    <w:rsid w:val="001E6082"/>
    <w:rsid w:val="002434D2"/>
    <w:rsid w:val="002E73D9"/>
    <w:rsid w:val="003C563D"/>
    <w:rsid w:val="00471E55"/>
    <w:rsid w:val="00560252"/>
    <w:rsid w:val="0060678B"/>
    <w:rsid w:val="00652BD0"/>
    <w:rsid w:val="0067711B"/>
    <w:rsid w:val="007F55AD"/>
    <w:rsid w:val="00835CFE"/>
    <w:rsid w:val="00A34C01"/>
    <w:rsid w:val="00A703F4"/>
    <w:rsid w:val="00AA06E9"/>
    <w:rsid w:val="00AC6639"/>
    <w:rsid w:val="00AE1239"/>
    <w:rsid w:val="00D341EB"/>
    <w:rsid w:val="00DE2E24"/>
    <w:rsid w:val="00FB3813"/>
    <w:rsid w:val="04201A47"/>
    <w:rsid w:val="06011E0D"/>
    <w:rsid w:val="06336E26"/>
    <w:rsid w:val="074528B2"/>
    <w:rsid w:val="07641810"/>
    <w:rsid w:val="092553C2"/>
    <w:rsid w:val="09B71539"/>
    <w:rsid w:val="0E7236B4"/>
    <w:rsid w:val="118923AF"/>
    <w:rsid w:val="13C74CD5"/>
    <w:rsid w:val="169F05CD"/>
    <w:rsid w:val="1AC00C26"/>
    <w:rsid w:val="1D742B61"/>
    <w:rsid w:val="2000127D"/>
    <w:rsid w:val="21433EAD"/>
    <w:rsid w:val="2154664A"/>
    <w:rsid w:val="23925BDE"/>
    <w:rsid w:val="27A867BB"/>
    <w:rsid w:val="2855220B"/>
    <w:rsid w:val="2AEE13E9"/>
    <w:rsid w:val="2E6E1C2A"/>
    <w:rsid w:val="337A0879"/>
    <w:rsid w:val="3391248B"/>
    <w:rsid w:val="34E54B27"/>
    <w:rsid w:val="38E00CFB"/>
    <w:rsid w:val="3FE53DEE"/>
    <w:rsid w:val="408321B3"/>
    <w:rsid w:val="42B6243C"/>
    <w:rsid w:val="49207D23"/>
    <w:rsid w:val="4B515655"/>
    <w:rsid w:val="4CBE0821"/>
    <w:rsid w:val="4D8B7C4B"/>
    <w:rsid w:val="4DE5530E"/>
    <w:rsid w:val="4FD05B8C"/>
    <w:rsid w:val="4FD55A64"/>
    <w:rsid w:val="5207137F"/>
    <w:rsid w:val="53B1177B"/>
    <w:rsid w:val="57021326"/>
    <w:rsid w:val="5ABF46CA"/>
    <w:rsid w:val="5E0A46B4"/>
    <w:rsid w:val="60BE24F8"/>
    <w:rsid w:val="62E30F8D"/>
    <w:rsid w:val="631E14BF"/>
    <w:rsid w:val="638565BB"/>
    <w:rsid w:val="64BE2352"/>
    <w:rsid w:val="654F45B2"/>
    <w:rsid w:val="6B9D2C0C"/>
    <w:rsid w:val="6C9A37FA"/>
    <w:rsid w:val="6CA6680B"/>
    <w:rsid w:val="6D89139F"/>
    <w:rsid w:val="6E9C1C5A"/>
    <w:rsid w:val="7385246B"/>
    <w:rsid w:val="74032035"/>
    <w:rsid w:val="74C45041"/>
    <w:rsid w:val="7FE51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1957</Words>
  <Characters>2017</Characters>
  <Lines>15</Lines>
  <Paragraphs>4</Paragraphs>
  <TotalTime>0</TotalTime>
  <ScaleCrop>false</ScaleCrop>
  <LinksUpToDate>false</LinksUpToDate>
  <CharactersWithSpaces>2093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2021-03-25T02:28:00Z</dcterms:created>
  <dc:creator>lenovo02</dc:creator>
  <cp:lastModifiedBy>玲</cp:lastModifiedBy>
  <dcterms:modified xsi:type="dcterms:W3CDTF">2022-04-30T09:22:35Z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1C442027BB5A4E7A88B04BE21A81B698</vt:lpwstr>
  </property>
</Properties>
</file>